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B9E1" w14:textId="77777777" w:rsidR="009D0CE0" w:rsidRPr="009D0CE0" w:rsidRDefault="009D0CE0" w:rsidP="009D0CE0">
      <w:pPr>
        <w:spacing w:before="60" w:after="150" w:line="240" w:lineRule="auto"/>
        <w:jc w:val="center"/>
        <w:outlineLvl w:val="1"/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</w:pPr>
      <w:proofErr w:type="spellStart"/>
      <w:r w:rsidRPr="009D0CE0"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  <w:t>Sfaturi</w:t>
      </w:r>
      <w:proofErr w:type="spellEnd"/>
      <w:r w:rsidRPr="009D0CE0"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  <w:t xml:space="preserve"> </w:t>
      </w:r>
      <w:proofErr w:type="spellStart"/>
      <w:r w:rsidRPr="009D0CE0"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  <w:t>pentru</w:t>
      </w:r>
      <w:proofErr w:type="spellEnd"/>
      <w:r w:rsidRPr="009D0CE0"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  <w:t xml:space="preserve"> </w:t>
      </w:r>
      <w:proofErr w:type="spellStart"/>
      <w:r w:rsidRPr="009D0CE0">
        <w:rPr>
          <w:rFonts w:ascii="inherit" w:eastAsia="Times New Roman" w:hAnsi="inherit" w:cs="Times New Roman"/>
          <w:color w:val="252525"/>
          <w:kern w:val="0"/>
          <w:sz w:val="41"/>
          <w:szCs w:val="41"/>
          <w:lang w:eastAsia="en-GB"/>
          <w14:ligatures w14:val="none"/>
        </w:rPr>
        <w:t>călători</w:t>
      </w:r>
      <w:proofErr w:type="spellEnd"/>
    </w:p>
    <w:p w14:paraId="3135E885" w14:textId="77777777" w:rsidR="009D0CE0" w:rsidRPr="009D0CE0" w:rsidRDefault="009D0CE0" w:rsidP="009D0CE0">
      <w:pPr>
        <w:pStyle w:val="NoSpacing"/>
        <w:rPr>
          <w:lang w:eastAsia="en-GB"/>
        </w:rPr>
      </w:pPr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Schema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vaccinare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înaintea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unei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internaționale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PERSONALIZATĂ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recomandată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medic,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funcție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destinație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durata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vaccinări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obligatorii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recomandate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zona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respectivă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riscurile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îmbolnăvire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specifice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zonei</w:t>
      </w:r>
      <w:proofErr w:type="spellEnd"/>
      <w:r w:rsidRPr="009D0CE0">
        <w:rPr>
          <w:lang w:eastAsia="en-GB"/>
        </w:rPr>
        <w:br/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Dacă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veți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străinătate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recomandat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9D0CE0">
        <w:rPr>
          <w:lang w:eastAsia="en-GB"/>
        </w:rPr>
        <w:br/>
      </w:r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programați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inclusiv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copiii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 la o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consultație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medicul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dumneavoastră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familie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evaluarea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stării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sănătate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cu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câteva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săptămâni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înaintea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;</w:t>
      </w:r>
      <w:r w:rsidRPr="009D0CE0">
        <w:rPr>
          <w:lang w:eastAsia="en-GB"/>
        </w:rPr>
        <w:br/>
      </w:r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informați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care sunt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tipurile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vaccinuri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medicația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profilactică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trebuie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administrate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înainte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timpul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dumneavoastră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puteți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face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acest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lucru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adresându-vă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unui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Cabinet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Vaccinări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Internationale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selectat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lista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disponibilă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următorul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link:</w:t>
      </w:r>
      <w:hyperlink r:id="rId5" w:history="1">
        <w:r w:rsidRPr="009D0CE0">
          <w:rPr>
            <w:color w:val="0B789C"/>
            <w:u w:val="single"/>
            <w:lang w:eastAsia="en-GB"/>
          </w:rPr>
          <w:t>Lista</w:t>
        </w:r>
        <w:proofErr w:type="spellEnd"/>
        <w:r w:rsidRPr="009D0CE0">
          <w:rPr>
            <w:color w:val="0B789C"/>
            <w:u w:val="single"/>
            <w:lang w:eastAsia="en-GB"/>
          </w:rPr>
          <w:t xml:space="preserve"> </w:t>
        </w:r>
        <w:proofErr w:type="spellStart"/>
        <w:r w:rsidRPr="009D0CE0">
          <w:rPr>
            <w:color w:val="0B789C"/>
            <w:u w:val="single"/>
            <w:lang w:eastAsia="en-GB"/>
          </w:rPr>
          <w:t>cabinetelor</w:t>
        </w:r>
        <w:proofErr w:type="spellEnd"/>
        <w:r w:rsidRPr="009D0CE0">
          <w:rPr>
            <w:color w:val="0B789C"/>
            <w:u w:val="single"/>
            <w:lang w:eastAsia="en-GB"/>
          </w:rPr>
          <w:t xml:space="preserve"> de </w:t>
        </w:r>
        <w:proofErr w:type="spellStart"/>
        <w:r w:rsidRPr="009D0CE0">
          <w:rPr>
            <w:color w:val="0B789C"/>
            <w:u w:val="single"/>
            <w:lang w:eastAsia="en-GB"/>
          </w:rPr>
          <w:t>vaccinări</w:t>
        </w:r>
        <w:proofErr w:type="spellEnd"/>
        <w:r w:rsidRPr="009D0CE0">
          <w:rPr>
            <w:color w:val="0B789C"/>
            <w:u w:val="single"/>
            <w:lang w:eastAsia="en-GB"/>
          </w:rPr>
          <w:t xml:space="preserve"> </w:t>
        </w:r>
        <w:proofErr w:type="spellStart"/>
        <w:r w:rsidRPr="009D0CE0">
          <w:rPr>
            <w:color w:val="0B789C"/>
            <w:u w:val="single"/>
            <w:lang w:eastAsia="en-GB"/>
          </w:rPr>
          <w:t>internaționale</w:t>
        </w:r>
        <w:proofErr w:type="spellEnd"/>
      </w:hyperlink>
    </w:p>
    <w:p w14:paraId="7C2612D9" w14:textId="77777777" w:rsidR="009D0CE0" w:rsidRPr="009D0CE0" w:rsidRDefault="009D0CE0" w:rsidP="009D0CE0">
      <w:pPr>
        <w:pStyle w:val="NoSpacing"/>
        <w:rPr>
          <w:lang w:eastAsia="en-GB"/>
        </w:rPr>
      </w:pPr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INSP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recomandă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celor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intenționează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călătorească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discute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înainte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medicii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cabinetele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vaccinări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internaționale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9D0CE0">
        <w:rPr>
          <w:lang w:eastAsia="en-GB"/>
        </w:rPr>
        <w:br/>
      </w:r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Mai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multe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informații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malarie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alte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boli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tropicale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care pot fi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asociate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călătoriei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puteți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găsi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atât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documentul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Organizației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Mondiale a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Sănătății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– </w:t>
      </w:r>
      <w:hyperlink r:id="rId6" w:history="1">
        <w:r w:rsidRPr="009D0CE0">
          <w:rPr>
            <w:rFonts w:ascii="Times New Roman" w:hAnsi="Times New Roman" w:cs="Times New Roman"/>
            <w:color w:val="0B789C"/>
            <w:sz w:val="24"/>
            <w:szCs w:val="24"/>
            <w:u w:val="single"/>
            <w:lang w:eastAsia="en-GB"/>
          </w:rPr>
          <w:t>https://www.who.int/publications/m/item/vaccination-requirements-and-recommendations-for-international-travellers-and-malaria-situation-per-country-2021-edition</w:t>
        </w:r>
      </w:hyperlink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 cât 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 site-</w:t>
      </w:r>
      <w:proofErr w:type="spellStart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ul</w:t>
      </w:r>
      <w:proofErr w:type="spellEnd"/>
      <w:r w:rsidRPr="009D0CE0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INSP/CNSCBT – </w:t>
      </w:r>
      <w:hyperlink r:id="rId7" w:history="1">
        <w:r w:rsidRPr="009D0CE0">
          <w:rPr>
            <w:rFonts w:ascii="Times New Roman" w:hAnsi="Times New Roman" w:cs="Times New Roman"/>
            <w:color w:val="0B789C"/>
            <w:sz w:val="24"/>
            <w:szCs w:val="24"/>
            <w:u w:val="single"/>
            <w:lang w:eastAsia="en-GB"/>
          </w:rPr>
          <w:t>https://insp.gov.ro/centrul-national-de-supraveghere-si-control-al-bolilor-transmisibile-cnscbt/sfaturi-pentru-calatori/</w:t>
        </w:r>
      </w:hyperlink>
    </w:p>
    <w:p w14:paraId="369BD92C" w14:textId="77777777" w:rsidR="009D0CE0" w:rsidRDefault="009D0CE0" w:rsidP="009D0CE0">
      <w:pPr>
        <w:spacing w:after="36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en-GB"/>
          <w14:ligatures w14:val="none"/>
        </w:rPr>
        <w:t>MALARIA</w:t>
      </w:r>
    </w:p>
    <w:p w14:paraId="4163A87E" w14:textId="6A14AF74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Malaria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boală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severă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care la om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fi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cauzată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patru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specii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distincte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protozoare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genul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Plasmodium (Plasmodium falciparum, Plasmodium Vivax, Plasmodium </w:t>
      </w:r>
      <w:proofErr w:type="spellStart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Ovale</w:t>
      </w:r>
      <w:proofErr w:type="spellEnd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Plasmodium </w:t>
      </w:r>
      <w:proofErr w:type="spellStart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Malariae</w:t>
      </w:r>
      <w:proofErr w:type="spellEnd"/>
      <w:r w:rsidRPr="009D0CE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), </w:t>
      </w: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care sunt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transmise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înțepătura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infectantă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femele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țânțar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Anopheles. Alte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transmitere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malariei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sunt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transplacentar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utilizarea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ace non-sterile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între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utilizatorii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droguri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transfuzii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sânge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transplant de organ.</w:t>
      </w:r>
    </w:p>
    <w:p w14:paraId="2743D36D" w14:textId="77777777" w:rsidR="009D0CE0" w:rsidRPr="009D0CE0" w:rsidRDefault="009D0CE0" w:rsidP="009D0CE0">
      <w:pPr>
        <w:pStyle w:val="NoSpacing"/>
        <w:rPr>
          <w:rFonts w:ascii="Open Sans" w:hAnsi="Open Sans" w:cs="Open Sans"/>
          <w:color w:val="404040"/>
          <w:sz w:val="21"/>
          <w:szCs w:val="21"/>
          <w:lang w:eastAsia="en-GB"/>
        </w:rPr>
      </w:pPr>
      <w:proofErr w:type="spellStart"/>
      <w:r w:rsidRPr="009D0CE0">
        <w:rPr>
          <w:lang w:eastAsia="en-GB"/>
        </w:rPr>
        <w:t>În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pofida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eforturilor</w:t>
      </w:r>
      <w:proofErr w:type="spellEnd"/>
      <w:r w:rsidRPr="009D0CE0">
        <w:rPr>
          <w:lang w:eastAsia="en-GB"/>
        </w:rPr>
        <w:t xml:space="preserve"> de </w:t>
      </w:r>
      <w:proofErr w:type="spellStart"/>
      <w:r w:rsidRPr="009D0CE0">
        <w:rPr>
          <w:lang w:eastAsia="en-GB"/>
        </w:rPr>
        <w:t>eliminare</w:t>
      </w:r>
      <w:proofErr w:type="spellEnd"/>
      <w:r w:rsidRPr="009D0CE0">
        <w:rPr>
          <w:lang w:eastAsia="en-GB"/>
        </w:rPr>
        <w:t xml:space="preserve"> a </w:t>
      </w:r>
      <w:proofErr w:type="spellStart"/>
      <w:r w:rsidRPr="009D0CE0">
        <w:rPr>
          <w:lang w:eastAsia="en-GB"/>
        </w:rPr>
        <w:t>malariei</w:t>
      </w:r>
      <w:proofErr w:type="spellEnd"/>
      <w:r w:rsidRPr="009D0CE0">
        <w:rPr>
          <w:lang w:eastAsia="en-GB"/>
        </w:rPr>
        <w:t xml:space="preserve">, </w:t>
      </w:r>
      <w:proofErr w:type="spellStart"/>
      <w:r w:rsidRPr="009D0CE0">
        <w:rPr>
          <w:lang w:eastAsia="en-GB"/>
        </w:rPr>
        <w:t>aceasta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continuă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să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reprezinte</w:t>
      </w:r>
      <w:proofErr w:type="spellEnd"/>
      <w:r w:rsidRPr="009D0CE0">
        <w:rPr>
          <w:lang w:eastAsia="en-GB"/>
        </w:rPr>
        <w:t xml:space="preserve"> o </w:t>
      </w:r>
      <w:proofErr w:type="spellStart"/>
      <w:r w:rsidRPr="009D0CE0">
        <w:rPr>
          <w:lang w:eastAsia="en-GB"/>
        </w:rPr>
        <w:t>importantă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problemă</w:t>
      </w:r>
      <w:proofErr w:type="spellEnd"/>
      <w:r w:rsidRPr="009D0CE0">
        <w:rPr>
          <w:lang w:eastAsia="en-GB"/>
        </w:rPr>
        <w:t xml:space="preserve"> de </w:t>
      </w:r>
      <w:proofErr w:type="spellStart"/>
      <w:r w:rsidRPr="009D0CE0">
        <w:rPr>
          <w:lang w:eastAsia="en-GB"/>
        </w:rPr>
        <w:t>sănătate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publică</w:t>
      </w:r>
      <w:proofErr w:type="spellEnd"/>
      <w:r w:rsidRPr="009D0CE0">
        <w:rPr>
          <w:lang w:eastAsia="en-GB"/>
        </w:rPr>
        <w:t xml:space="preserve"> la </w:t>
      </w:r>
      <w:proofErr w:type="spellStart"/>
      <w:r w:rsidRPr="009D0CE0">
        <w:rPr>
          <w:lang w:eastAsia="en-GB"/>
        </w:rPr>
        <w:t>nivel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mondial</w:t>
      </w:r>
      <w:proofErr w:type="spellEnd"/>
      <w:proofErr w:type="gramStart"/>
      <w:r w:rsidRPr="009D0CE0">
        <w:rPr>
          <w:lang w:eastAsia="en-GB"/>
        </w:rPr>
        <w:t>. .</w:t>
      </w:r>
      <w:proofErr w:type="gram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Peste</w:t>
      </w:r>
      <w:proofErr w:type="spellEnd"/>
      <w:r w:rsidRPr="009D0CE0">
        <w:rPr>
          <w:lang w:eastAsia="en-GB"/>
        </w:rPr>
        <w:t xml:space="preserve"> 100 de </w:t>
      </w:r>
      <w:proofErr w:type="spellStart"/>
      <w:r w:rsidRPr="009D0CE0">
        <w:rPr>
          <w:lang w:eastAsia="en-GB"/>
        </w:rPr>
        <w:t>țări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și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teritorii</w:t>
      </w:r>
      <w:proofErr w:type="spellEnd"/>
      <w:r w:rsidRPr="009D0CE0">
        <w:rPr>
          <w:lang w:eastAsia="en-GB"/>
        </w:rPr>
        <w:t xml:space="preserve"> din Africa, Asia de Sud </w:t>
      </w:r>
      <w:proofErr w:type="spellStart"/>
      <w:r w:rsidRPr="009D0CE0">
        <w:rPr>
          <w:lang w:eastAsia="en-GB"/>
        </w:rPr>
        <w:t>și</w:t>
      </w:r>
      <w:proofErr w:type="spellEnd"/>
      <w:r w:rsidRPr="009D0CE0">
        <w:rPr>
          <w:lang w:eastAsia="en-GB"/>
        </w:rPr>
        <w:t xml:space="preserve"> Sud-Est, America </w:t>
      </w:r>
      <w:proofErr w:type="spellStart"/>
      <w:r w:rsidRPr="009D0CE0">
        <w:rPr>
          <w:lang w:eastAsia="en-GB"/>
        </w:rPr>
        <w:t>Centrală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și</w:t>
      </w:r>
      <w:proofErr w:type="spellEnd"/>
      <w:r w:rsidRPr="009D0CE0">
        <w:rPr>
          <w:lang w:eastAsia="en-GB"/>
        </w:rPr>
        <w:t xml:space="preserve"> de Sud, </w:t>
      </w:r>
      <w:proofErr w:type="spellStart"/>
      <w:r w:rsidRPr="009D0CE0">
        <w:rPr>
          <w:lang w:eastAsia="en-GB"/>
        </w:rPr>
        <w:t>Caraibe</w:t>
      </w:r>
      <w:proofErr w:type="spellEnd"/>
      <w:r w:rsidRPr="009D0CE0">
        <w:rPr>
          <w:lang w:eastAsia="en-GB"/>
        </w:rPr>
        <w:t xml:space="preserve">, </w:t>
      </w:r>
      <w:proofErr w:type="spellStart"/>
      <w:r w:rsidRPr="009D0CE0">
        <w:rPr>
          <w:lang w:eastAsia="en-GB"/>
        </w:rPr>
        <w:t>Orientul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Mijlociu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și</w:t>
      </w:r>
      <w:proofErr w:type="spellEnd"/>
      <w:r w:rsidRPr="009D0CE0">
        <w:rPr>
          <w:lang w:eastAsia="en-GB"/>
        </w:rPr>
        <w:t xml:space="preserve"> Oceania sunt considerate </w:t>
      </w:r>
      <w:proofErr w:type="spellStart"/>
      <w:r w:rsidRPr="009D0CE0">
        <w:rPr>
          <w:lang w:eastAsia="en-GB"/>
        </w:rPr>
        <w:t>endemice</w:t>
      </w:r>
      <w:proofErr w:type="spellEnd"/>
      <w:r w:rsidRPr="009D0CE0">
        <w:rPr>
          <w:lang w:eastAsia="en-GB"/>
        </w:rPr>
        <w:t xml:space="preserve">, </w:t>
      </w:r>
      <w:proofErr w:type="spellStart"/>
      <w:r w:rsidRPr="009D0CE0">
        <w:rPr>
          <w:lang w:eastAsia="en-GB"/>
        </w:rPr>
        <w:t>principala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regiune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afectată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fiind</w:t>
      </w:r>
      <w:proofErr w:type="spellEnd"/>
      <w:r w:rsidRPr="009D0CE0">
        <w:rPr>
          <w:lang w:eastAsia="en-GB"/>
        </w:rPr>
        <w:t xml:space="preserve"> Africa.</w:t>
      </w:r>
    </w:p>
    <w:p w14:paraId="7012B46B" w14:textId="77777777" w:rsidR="009D0CE0" w:rsidRPr="009D0CE0" w:rsidRDefault="009D0CE0" w:rsidP="009D0CE0">
      <w:pPr>
        <w:pStyle w:val="NoSpacing"/>
        <w:rPr>
          <w:rFonts w:ascii="Open Sans" w:hAnsi="Open Sans" w:cs="Open Sans"/>
          <w:color w:val="404040"/>
          <w:sz w:val="21"/>
          <w:szCs w:val="21"/>
          <w:lang w:eastAsia="en-GB"/>
        </w:rPr>
      </w:pPr>
      <w:proofErr w:type="spellStart"/>
      <w:r w:rsidRPr="009D0CE0">
        <w:rPr>
          <w:lang w:eastAsia="en-GB"/>
        </w:rPr>
        <w:t>Măsurile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adresate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călătorilor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în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zonele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endemice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pentru</w:t>
      </w:r>
      <w:proofErr w:type="spellEnd"/>
      <w:r w:rsidRPr="009D0CE0">
        <w:rPr>
          <w:lang w:eastAsia="en-GB"/>
        </w:rPr>
        <w:t xml:space="preserve"> </w:t>
      </w:r>
      <w:proofErr w:type="spellStart"/>
      <w:r w:rsidRPr="009D0CE0">
        <w:rPr>
          <w:lang w:eastAsia="en-GB"/>
        </w:rPr>
        <w:t>malarie</w:t>
      </w:r>
      <w:proofErr w:type="spellEnd"/>
      <w:r w:rsidRPr="009D0CE0">
        <w:rPr>
          <w:lang w:eastAsia="en-GB"/>
        </w:rPr>
        <w:t xml:space="preserve"> se regăsesc:</w:t>
      </w:r>
      <w:r w:rsidRPr="009D0CE0">
        <w:rPr>
          <w:color w:val="404040"/>
          <w:lang w:eastAsia="en-GB"/>
        </w:rPr>
        <w:t> </w:t>
      </w:r>
      <w:hyperlink r:id="rId8" w:history="1">
        <w:r w:rsidRPr="009D0CE0">
          <w:rPr>
            <w:color w:val="0B789C"/>
            <w:u w:val="single"/>
            <w:lang w:eastAsia="en-GB"/>
          </w:rPr>
          <w:t>https://insp.gov.ro/download/malaria-recomandari-pentru-calatori/</w:t>
        </w:r>
      </w:hyperlink>
    </w:p>
    <w:p w14:paraId="18A05313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POLIOMIELITA</w:t>
      </w:r>
    </w:p>
    <w:p w14:paraId="599FD073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contextul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mobilității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crescute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creșterii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numărului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au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poliomielită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detecție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poliovirusuri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recomandă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efectuarea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scheme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complete,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special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componenta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polio,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respectiv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rapel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conform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vârstei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/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duratei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ședere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indiferent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restricțiile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impuse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graniță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Recomandările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sunt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făcute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special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cetățenii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români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călătoresc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frecvent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vederea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prevenirii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îmbolnăvirii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individuale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altor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persoane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re/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venirea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România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30CAFBB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urma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întrunirii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Comitetului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Urgență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</w:t>
      </w:r>
      <w:proofErr w:type="spellEnd"/>
      <w:proofErr w:type="gram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International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Regulamentului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Sanitar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Urgență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din 12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decembrie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2023,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Organizația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Mondială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Sănătății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(OMS)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decis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extinderea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Urgenței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Sănătate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Publică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Importanță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Internațională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(USPII)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referitoare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pericolul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răspândire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virusului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poliomielitic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Există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astfel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78BE7E9C" w14:textId="77777777" w:rsidR="009D0CE0" w:rsidRPr="009D0CE0" w:rsidRDefault="009D0CE0" w:rsidP="009D0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state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risc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potențial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răspândire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internațională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poliovirusurilor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*: 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Afganistan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, Pakistan, 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Republica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Democrată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Congo, Madagascar, Malawi, Mozambique:</w:t>
      </w:r>
    </w:p>
    <w:p w14:paraId="3F0C132B" w14:textId="77777777" w:rsidR="009D0CE0" w:rsidRPr="009D0CE0" w:rsidRDefault="009D0CE0" w:rsidP="009D0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state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detecție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poliovirusuri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/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fără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transmitere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locală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: Algeria, Benin, Botswana, Burkina Faso, Cameroon,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Republica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Central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Africană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Ciad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Coasta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Fildeș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Republica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Congo,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Egipt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Guinea,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Indonezia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Israel, Kenya, Mali, Mauritania, Niger, Nigeria, Somalia, Sudan,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Republica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unită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Tanzaniei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Yemen, Zambia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Zimbabwe.</w:t>
      </w: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4D48330F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*La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frontieră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aerian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rutier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naval) din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pot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le fie solicitate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documentele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atestă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antipolio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ales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șederi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prelungite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mult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4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săptămâni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).</w:t>
      </w:r>
    </w:p>
    <w:p w14:paraId="65DBA981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face cu 4-6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săptămâni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înaintea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călătoriei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urgență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chiar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înaintea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acesteia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fi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consemnată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certificatul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internațional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– format OMS conform IHR 2005 care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însoți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celelalte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documente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România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Certificatul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internațional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obține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urma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administrării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produselor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cabinetele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vaccinări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internaționale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căror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listă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afișează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pe site-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INSP (la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rubrica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sfaturi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Publicarea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listei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cabinete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face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aprobarea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acestora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către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MS.</w:t>
      </w:r>
    </w:p>
    <w:p w14:paraId="370298A6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Lista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solicită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antipolio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actualizatăă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periodic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către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OMS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primirea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rapoartelor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afectate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9A6E986" w14:textId="77777777" w:rsidR="009D0CE0" w:rsidRPr="009D0CE0" w:rsidRDefault="009D0CE0" w:rsidP="009D0CE0">
      <w:pPr>
        <w:spacing w:after="360" w:line="240" w:lineRule="auto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  <w:t> </w:t>
      </w:r>
      <w:hyperlink r:id="rId9" w:history="1">
        <w:r w:rsidRPr="009D0CE0">
          <w:rPr>
            <w:rFonts w:ascii="Open Sans" w:eastAsia="Times New Roman" w:hAnsi="Open Sans" w:cs="Open Sans"/>
            <w:color w:val="0B789C"/>
            <w:kern w:val="0"/>
            <w:sz w:val="21"/>
            <w:szCs w:val="21"/>
            <w:u w:val="single"/>
            <w:lang w:eastAsia="en-GB"/>
            <w14:ligatures w14:val="none"/>
          </w:rPr>
          <w:t>https://www.who.int/news/item/22-12-2023-statement-following-the-thirty-seventh-meeting-of-the-ihr-emergency-committee-for-polio</w:t>
        </w:r>
      </w:hyperlink>
    </w:p>
    <w:p w14:paraId="1359B5FD" w14:textId="77777777" w:rsidR="009D0CE0" w:rsidRPr="009D0CE0" w:rsidRDefault="009D0CE0" w:rsidP="009D0CE0">
      <w:pPr>
        <w:spacing w:after="360" w:line="240" w:lineRule="auto"/>
        <w:jc w:val="both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DIFTERIA</w:t>
      </w:r>
    </w:p>
    <w:p w14:paraId="3E57FA14" w14:textId="77777777" w:rsidR="009D0CE0" w:rsidRDefault="009D0CE0" w:rsidP="009D0CE0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Conform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Centrului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European 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Bolilor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(ECDC-European Centre for Disease Control),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difteria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boală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rară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Uniunii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Europene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Spațiului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Economic European.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toate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riscul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import din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țările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raportează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difterie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hyperlink r:id="rId10" w:history="1">
        <w:r w:rsidRPr="009D0CE0">
          <w:rPr>
            <w:rFonts w:ascii="Times New Roman" w:eastAsia="Times New Roman" w:hAnsi="Times New Roman" w:cs="Times New Roman"/>
            <w:color w:val="0B789C"/>
            <w:kern w:val="0"/>
            <w:sz w:val="24"/>
            <w:szCs w:val="24"/>
            <w:u w:val="single"/>
            <w:lang w:eastAsia="en-GB"/>
            <w14:ligatures w14:val="none"/>
          </w:rPr>
          <w:t>https://apps.who.int/gho/data/view.main.1540_41?lang=en</w:t>
        </w:r>
      </w:hyperlink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),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acoperiri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scăzute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există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Astfel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începând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de-a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doua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jumătate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2022, s-a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înregistrat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creștere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numărului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cazuri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difterie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raportate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nivel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european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asociate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migrației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Dat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fiind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faptul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antidifterică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reprezintă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singura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metodă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eficientă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prevenire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acțiunii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toxinei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difterice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recomandăm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utilizarea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vaccinurilor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componentă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difterică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atât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copiilor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adolescenților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conform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Calendarului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Național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Vaccinare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cât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efectuarea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dozelor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rapel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Apariția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bolii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persoanele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status vaccinal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complet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zi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este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foarte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rară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chiar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cazul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călătoresc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zone care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încă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raportează</w:t>
      </w:r>
      <w:proofErr w:type="spellEnd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cazuri.</w:t>
      </w:r>
      <w:proofErr w:type="spellEnd"/>
    </w:p>
    <w:p w14:paraId="78D6B6DF" w14:textId="27A6A014" w:rsidR="009D0CE0" w:rsidRPr="009D0CE0" w:rsidRDefault="009D0CE0" w:rsidP="009D0CE0">
      <w:pPr>
        <w:spacing w:after="360" w:line="240" w:lineRule="auto"/>
        <w:jc w:val="both"/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</w:pPr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Mai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multe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informații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contextul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unor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călătorii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internaționale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pot fi solicitate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unui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cabinet de </w:t>
      </w:r>
      <w:proofErr w:type="spellStart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vaccinări</w:t>
      </w:r>
      <w:proofErr w:type="spellEnd"/>
      <w:r w:rsidRPr="009D0C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internaționale</w:t>
      </w:r>
      <w:r w:rsidRPr="009D0CE0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en-GB"/>
          <w14:ligatures w14:val="none"/>
        </w:rPr>
        <w:t> (</w:t>
      </w:r>
      <w:hyperlink r:id="rId11" w:history="1">
        <w:r w:rsidRPr="009D0CE0">
          <w:rPr>
            <w:rFonts w:ascii="Times New Roman" w:eastAsia="Times New Roman" w:hAnsi="Times New Roman" w:cs="Times New Roman"/>
            <w:color w:val="0B789C"/>
            <w:kern w:val="0"/>
            <w:sz w:val="24"/>
            <w:szCs w:val="24"/>
            <w:u w:val="single"/>
            <w:lang w:eastAsia="en-GB"/>
            <w14:ligatures w14:val="none"/>
          </w:rPr>
          <w:t>https://insp.gov.ro/download/cabinete-vaccinari-internationale</w:t>
        </w:r>
      </w:hyperlink>
      <w:r w:rsidRPr="009D0CE0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en-GB"/>
          <w14:ligatures w14:val="none"/>
        </w:rPr>
        <w:t>).</w:t>
      </w:r>
    </w:p>
    <w:p w14:paraId="2CDC1E03" w14:textId="78483FBE" w:rsidR="00387C5B" w:rsidRDefault="009D0CE0" w:rsidP="009D0CE0">
      <w:pPr>
        <w:spacing w:after="360" w:line="240" w:lineRule="auto"/>
      </w:pPr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 xml:space="preserve">MAE – </w:t>
      </w:r>
      <w:proofErr w:type="spellStart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>sfaturi</w:t>
      </w:r>
      <w:proofErr w:type="spellEnd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>și</w:t>
      </w:r>
      <w:proofErr w:type="spellEnd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>alerte</w:t>
      </w:r>
      <w:proofErr w:type="spellEnd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 xml:space="preserve"> de </w:t>
      </w:r>
      <w:proofErr w:type="spellStart"/>
      <w:r w:rsidRPr="009D0CE0">
        <w:rPr>
          <w:rFonts w:ascii="Open Sans" w:eastAsia="Times New Roman" w:hAnsi="Open Sans" w:cs="Open Sans"/>
          <w:b/>
          <w:bCs/>
          <w:color w:val="404040"/>
          <w:kern w:val="0"/>
          <w:sz w:val="21"/>
          <w:szCs w:val="21"/>
          <w:lang w:eastAsia="en-GB"/>
          <w14:ligatures w14:val="none"/>
        </w:rPr>
        <w:t>călătorie</w:t>
      </w:r>
      <w:proofErr w:type="spellEnd"/>
      <w:r w:rsidRPr="009D0CE0">
        <w:rPr>
          <w:rFonts w:ascii="Open Sans" w:eastAsia="Times New Roman" w:hAnsi="Open Sans" w:cs="Open Sans"/>
          <w:color w:val="404040"/>
          <w:kern w:val="0"/>
          <w:sz w:val="21"/>
          <w:szCs w:val="21"/>
          <w:lang w:eastAsia="en-GB"/>
          <w14:ligatures w14:val="none"/>
        </w:rPr>
        <w:br/>
      </w:r>
      <w:hyperlink r:id="rId12" w:history="1">
        <w:r w:rsidRPr="009D0CE0">
          <w:rPr>
            <w:rFonts w:ascii="Open Sans" w:eastAsia="Times New Roman" w:hAnsi="Open Sans" w:cs="Open Sans"/>
            <w:color w:val="0B789C"/>
            <w:kern w:val="0"/>
            <w:sz w:val="21"/>
            <w:szCs w:val="21"/>
            <w:u w:val="single"/>
            <w:lang w:eastAsia="en-GB"/>
            <w14:ligatures w14:val="none"/>
          </w:rPr>
          <w:t>https://www.mae.ro/node/1533</w:t>
        </w:r>
      </w:hyperlink>
    </w:p>
    <w:sectPr w:rsidR="0038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DBA"/>
    <w:multiLevelType w:val="multilevel"/>
    <w:tmpl w:val="17C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92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EA"/>
    <w:rsid w:val="00387C5B"/>
    <w:rsid w:val="007702EA"/>
    <w:rsid w:val="009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AB18"/>
  <w15:chartTrackingRefBased/>
  <w15:docId w15:val="{35D47B0C-AC22-433A-A651-0468CAC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0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CE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D0C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0CE0"/>
    <w:rPr>
      <w:b/>
      <w:bCs/>
    </w:rPr>
  </w:style>
  <w:style w:type="character" w:styleId="Emphasis">
    <w:name w:val="Emphasis"/>
    <w:basedOn w:val="DefaultParagraphFont"/>
    <w:uiPriority w:val="20"/>
    <w:qFormat/>
    <w:rsid w:val="009D0CE0"/>
    <w:rPr>
      <w:i/>
      <w:iCs/>
    </w:rPr>
  </w:style>
  <w:style w:type="paragraph" w:styleId="NoSpacing">
    <w:name w:val="No Spacing"/>
    <w:uiPriority w:val="1"/>
    <w:qFormat/>
    <w:rsid w:val="009D0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.gov.ro/download/malaria-recomandari-pentru-calator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p.gov.ro/centrul-national-de-supraveghere-si-control-al-bolilor-transmisibile-cnscbt/sfaturi-pentru-calatori/" TargetMode="External"/><Relationship Id="rId12" Type="http://schemas.openxmlformats.org/officeDocument/2006/relationships/hyperlink" Target="https://www.mae.ro/node/1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m/item/vaccination-requirements-and-recommendations-for-international-travellers-and-malaria-situation-per-country-2021-edition" TargetMode="External"/><Relationship Id="rId11" Type="http://schemas.openxmlformats.org/officeDocument/2006/relationships/hyperlink" Target="https://insp.gov.ro/download/cabinete-vaccinari-internationale" TargetMode="External"/><Relationship Id="rId5" Type="http://schemas.openxmlformats.org/officeDocument/2006/relationships/hyperlink" Target="https://insp.gov.ro/wp-content/uploads/2024/01/Lista-cabinetelor-de-vaccinari-internationale.pdf" TargetMode="External"/><Relationship Id="rId10" Type="http://schemas.openxmlformats.org/officeDocument/2006/relationships/hyperlink" Target="https://apps.who.int/gho/data/view.main.1540_41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news/item/22-12-2023-statement-following-the-thirty-seventh-meeting-of-the-ihr-emergency-committee-for-poli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Epidemiologie 3</dc:creator>
  <cp:keywords/>
  <dc:description/>
  <cp:lastModifiedBy>Epidemiologie 3</cp:lastModifiedBy>
  <cp:revision>2</cp:revision>
  <cp:lastPrinted>2024-02-06T12:25:00Z</cp:lastPrinted>
  <dcterms:created xsi:type="dcterms:W3CDTF">2024-02-06T12:22:00Z</dcterms:created>
  <dcterms:modified xsi:type="dcterms:W3CDTF">2024-02-06T12:28:00Z</dcterms:modified>
</cp:coreProperties>
</file>